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620665" w:rsidRPr="009E62F5" w:rsidRDefault="00620665" w:rsidP="00620665">
      <w:pPr>
        <w:rPr>
          <w:sz w:val="28"/>
          <w:szCs w:val="28"/>
        </w:rPr>
      </w:pPr>
    </w:p>
    <w:p w:rsidR="00620665" w:rsidRPr="009E62F5" w:rsidRDefault="00620665" w:rsidP="00620665">
      <w:pPr>
        <w:rPr>
          <w:sz w:val="28"/>
          <w:szCs w:val="28"/>
        </w:rPr>
      </w:pPr>
      <w:r w:rsidRPr="009E62F5">
        <w:rPr>
          <w:sz w:val="28"/>
          <w:szCs w:val="28"/>
        </w:rPr>
        <w:t xml:space="preserve">  </w:t>
      </w:r>
      <w:r>
        <w:rPr>
          <w:sz w:val="28"/>
          <w:szCs w:val="28"/>
        </w:rPr>
        <w:t>1</w:t>
      </w:r>
      <w:r w:rsidR="00130BE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9E62F5">
        <w:rPr>
          <w:sz w:val="28"/>
          <w:szCs w:val="28"/>
        </w:rPr>
        <w:t>августа  20</w:t>
      </w:r>
      <w:r w:rsidR="00CB0144">
        <w:rPr>
          <w:sz w:val="28"/>
          <w:szCs w:val="28"/>
        </w:rPr>
        <w:t>21</w:t>
      </w:r>
      <w:r w:rsidRPr="009E62F5">
        <w:rPr>
          <w:sz w:val="28"/>
          <w:szCs w:val="28"/>
        </w:rPr>
        <w:t xml:space="preserve"> года                                                                              № </w:t>
      </w:r>
      <w:r w:rsidR="00CB0144">
        <w:rPr>
          <w:sz w:val="28"/>
          <w:szCs w:val="28"/>
        </w:rPr>
        <w:t>1</w:t>
      </w:r>
      <w:r w:rsidR="00985EFC">
        <w:rPr>
          <w:sz w:val="28"/>
          <w:szCs w:val="28"/>
        </w:rPr>
        <w:t>6</w:t>
      </w:r>
      <w:r w:rsidR="00CB0144">
        <w:rPr>
          <w:sz w:val="28"/>
          <w:szCs w:val="28"/>
        </w:rPr>
        <w:t>/</w:t>
      </w:r>
      <w:r w:rsidR="007F3AC6">
        <w:rPr>
          <w:sz w:val="28"/>
          <w:szCs w:val="28"/>
        </w:rPr>
        <w:t>128</w:t>
      </w: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57C08" w:rsidRPr="00157C08" w:rsidRDefault="00157C08" w:rsidP="00157C08">
      <w:pPr>
        <w:pStyle w:val="3"/>
        <w:spacing w:after="0"/>
        <w:jc w:val="center"/>
        <w:rPr>
          <w:b/>
        </w:rPr>
      </w:pPr>
    </w:p>
    <w:p w:rsidR="00116E00" w:rsidRPr="0085162A" w:rsidRDefault="00157C08" w:rsidP="00157C08">
      <w:pPr>
        <w:pStyle w:val="3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116E00" w:rsidRPr="0085162A">
        <w:rPr>
          <w:b/>
          <w:sz w:val="28"/>
        </w:rPr>
        <w:t>количеств</w:t>
      </w:r>
      <w:r>
        <w:rPr>
          <w:b/>
          <w:sz w:val="28"/>
        </w:rPr>
        <w:t>е</w:t>
      </w:r>
      <w:r w:rsidR="00116E00" w:rsidRPr="0085162A">
        <w:rPr>
          <w:b/>
          <w:sz w:val="28"/>
        </w:rPr>
        <w:t xml:space="preserve"> переносных ящиков для п</w:t>
      </w:r>
      <w:r w:rsidR="00B1520F">
        <w:rPr>
          <w:b/>
          <w:sz w:val="28"/>
        </w:rPr>
        <w:t>р</w:t>
      </w:r>
      <w:r w:rsidR="00116E00" w:rsidRPr="0085162A">
        <w:rPr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</w:t>
      </w:r>
      <w:r w:rsidR="00CB0144">
        <w:rPr>
          <w:b/>
          <w:sz w:val="28"/>
        </w:rPr>
        <w:t xml:space="preserve">№№ 8226, 8227 </w:t>
      </w:r>
      <w:r w:rsidR="00116E00" w:rsidRPr="0085162A">
        <w:rPr>
          <w:b/>
          <w:sz w:val="28"/>
        </w:rPr>
        <w:t xml:space="preserve">при проведении </w:t>
      </w:r>
      <w:r w:rsidR="00116E00">
        <w:rPr>
          <w:b/>
          <w:sz w:val="28"/>
        </w:rPr>
        <w:t xml:space="preserve">выборов </w:t>
      </w:r>
      <w:r w:rsidR="00CB0144">
        <w:rPr>
          <w:b/>
          <w:sz w:val="28"/>
        </w:rPr>
        <w:t>депутатов Государственной Думы Федерального Собрания Российской Федерации восьмого созыва</w:t>
      </w:r>
      <w:r w:rsidR="00116E00" w:rsidRPr="0085162A">
        <w:rPr>
          <w:b/>
          <w:sz w:val="28"/>
        </w:rPr>
        <w:t xml:space="preserve"> </w:t>
      </w:r>
    </w:p>
    <w:p w:rsidR="00116E00" w:rsidRPr="00157C08" w:rsidRDefault="00157C08" w:rsidP="00157C08">
      <w:pPr>
        <w:ind w:firstLine="708"/>
        <w:jc w:val="both"/>
        <w:rPr>
          <w:b/>
          <w:sz w:val="28"/>
          <w:szCs w:val="28"/>
        </w:rPr>
      </w:pPr>
      <w:r w:rsidRPr="00157C08">
        <w:rPr>
          <w:sz w:val="28"/>
          <w:szCs w:val="28"/>
        </w:rPr>
        <w:t>В</w:t>
      </w:r>
      <w:r w:rsidR="00CB0144" w:rsidRPr="00157C08">
        <w:rPr>
          <w:sz w:val="28"/>
          <w:szCs w:val="28"/>
        </w:rPr>
        <w:t xml:space="preserve"> </w:t>
      </w:r>
      <w:r w:rsidR="00116E00" w:rsidRPr="00157C08">
        <w:rPr>
          <w:sz w:val="28"/>
          <w:szCs w:val="28"/>
        </w:rPr>
        <w:t xml:space="preserve">соответствии  с </w:t>
      </w:r>
      <w:r w:rsidR="00CB0144" w:rsidRPr="00157C08">
        <w:rPr>
          <w:sz w:val="28"/>
          <w:szCs w:val="28"/>
        </w:rPr>
        <w:t xml:space="preserve">частью 6, </w:t>
      </w:r>
      <w:r w:rsidR="00116E00" w:rsidRPr="00157C08">
        <w:rPr>
          <w:sz w:val="28"/>
          <w:szCs w:val="28"/>
        </w:rPr>
        <w:t xml:space="preserve"> </w:t>
      </w:r>
      <w:r w:rsidR="00CB0144" w:rsidRPr="00157C08">
        <w:rPr>
          <w:sz w:val="28"/>
          <w:szCs w:val="28"/>
        </w:rPr>
        <w:t>п</w:t>
      </w:r>
      <w:r w:rsidR="000D6D9E" w:rsidRPr="00157C08">
        <w:rPr>
          <w:sz w:val="28"/>
          <w:szCs w:val="28"/>
        </w:rPr>
        <w:t>унктом</w:t>
      </w:r>
      <w:r w:rsidR="00CB0144" w:rsidRPr="00157C08">
        <w:rPr>
          <w:sz w:val="28"/>
          <w:szCs w:val="28"/>
        </w:rPr>
        <w:t xml:space="preserve"> 1 части 7 статьи 83 Федерального закона «О выборах депутатов Государственной Думы Федерального Собрания Российской Федерации»</w:t>
      </w:r>
      <w:r w:rsidRPr="00157C08">
        <w:rPr>
          <w:sz w:val="28"/>
          <w:szCs w:val="28"/>
        </w:rPr>
        <w:t xml:space="preserve">,  постановлением избирательной комиссии Липецкой области </w:t>
      </w:r>
      <w:r>
        <w:rPr>
          <w:sz w:val="28"/>
          <w:szCs w:val="28"/>
        </w:rPr>
        <w:t xml:space="preserve">от 18 июля 2021 года № </w:t>
      </w:r>
      <w:r w:rsidRPr="001F3E55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148/1224-6</w:t>
      </w:r>
      <w:r w:rsidRPr="00157C08">
        <w:rPr>
          <w:sz w:val="28"/>
          <w:szCs w:val="28"/>
        </w:rPr>
        <w:t xml:space="preserve"> «Об определении территориальных избирательных комиссий, являющихся вышестоящими по отношению к участковым избирательным комиссиям, сформированным на избирательных участках, образованных за пределами территории Российской Федерации, на выборах депутатов Государственной Думы Федерального Собрания Российской Федерации восьмого созыва»</w:t>
      </w:r>
      <w:r>
        <w:rPr>
          <w:sz w:val="28"/>
          <w:szCs w:val="28"/>
        </w:rPr>
        <w:t xml:space="preserve"> </w:t>
      </w:r>
      <w:r w:rsidRPr="00157C08">
        <w:rPr>
          <w:sz w:val="28"/>
          <w:szCs w:val="28"/>
        </w:rPr>
        <w:t xml:space="preserve"> </w:t>
      </w:r>
      <w:r w:rsidR="00CB0144" w:rsidRPr="00157C08">
        <w:rPr>
          <w:sz w:val="28"/>
          <w:szCs w:val="28"/>
        </w:rPr>
        <w:t xml:space="preserve"> </w:t>
      </w:r>
      <w:r w:rsidR="00116E00" w:rsidRPr="00157C08">
        <w:rPr>
          <w:sz w:val="28"/>
          <w:szCs w:val="28"/>
        </w:rPr>
        <w:t xml:space="preserve">территориальная избирательная комиссия </w:t>
      </w:r>
      <w:r w:rsidR="00620665" w:rsidRPr="00157C08">
        <w:rPr>
          <w:sz w:val="28"/>
          <w:szCs w:val="28"/>
        </w:rPr>
        <w:t xml:space="preserve">Советского округа </w:t>
      </w:r>
      <w:r>
        <w:rPr>
          <w:sz w:val="28"/>
          <w:szCs w:val="28"/>
        </w:rPr>
        <w:t xml:space="preserve"> </w:t>
      </w:r>
      <w:r w:rsidR="00620665" w:rsidRPr="00157C08">
        <w:rPr>
          <w:sz w:val="28"/>
          <w:szCs w:val="28"/>
        </w:rPr>
        <w:t xml:space="preserve">города Липецка </w:t>
      </w:r>
      <w:r w:rsidR="00116E00" w:rsidRPr="00157C08">
        <w:rPr>
          <w:b/>
          <w:sz w:val="28"/>
          <w:szCs w:val="28"/>
        </w:rPr>
        <w:t>постановляет:</w:t>
      </w:r>
    </w:p>
    <w:p w:rsidR="00116E00" w:rsidRDefault="00157C08" w:rsidP="00116E00">
      <w:pPr>
        <w:pStyle w:val="14-15"/>
        <w:spacing w:line="240" w:lineRule="auto"/>
        <w:rPr>
          <w:szCs w:val="28"/>
        </w:rPr>
      </w:pPr>
      <w:r>
        <w:rPr>
          <w:szCs w:val="28"/>
        </w:rPr>
        <w:t>Определить</w:t>
      </w:r>
      <w:r w:rsidR="00CB0144">
        <w:rPr>
          <w:szCs w:val="28"/>
        </w:rPr>
        <w:t xml:space="preserve"> </w:t>
      </w:r>
      <w:r w:rsidR="00116E00" w:rsidRPr="004543C5">
        <w:rPr>
          <w:szCs w:val="28"/>
        </w:rPr>
        <w:t>количество переносных ящиков</w:t>
      </w:r>
      <w:r w:rsidR="00F85F9F" w:rsidRPr="00F85F9F">
        <w:rPr>
          <w:b/>
        </w:rPr>
        <w:t xml:space="preserve"> </w:t>
      </w:r>
      <w:r w:rsidR="00B96A62" w:rsidRPr="00B96A62">
        <w:t>для проведения голосования вне помещения для голосования</w:t>
      </w:r>
      <w:r w:rsidR="00B96A62">
        <w:rPr>
          <w:b/>
        </w:rPr>
        <w:t xml:space="preserve"> </w:t>
      </w:r>
      <w:r w:rsidR="00F85F9F" w:rsidRPr="00F85F9F">
        <w:t xml:space="preserve">при проведении </w:t>
      </w:r>
      <w:r w:rsidR="00CB0144" w:rsidRPr="00CB0144">
        <w:t>выборов депутатов Государственной Думы Федерального Собрания Российской Федерации восьмого созыва</w:t>
      </w:r>
      <w:r w:rsidR="00B96A62">
        <w:t xml:space="preserve">, используемых </w:t>
      </w:r>
      <w:r w:rsidR="00B96A62">
        <w:rPr>
          <w:szCs w:val="28"/>
        </w:rPr>
        <w:t xml:space="preserve">участковыми </w:t>
      </w:r>
      <w:r w:rsidR="00116E00" w:rsidRPr="004543C5">
        <w:rPr>
          <w:szCs w:val="28"/>
        </w:rPr>
        <w:t>избирательным</w:t>
      </w:r>
      <w:r w:rsidR="00B96A62">
        <w:rPr>
          <w:szCs w:val="28"/>
        </w:rPr>
        <w:t>и</w:t>
      </w:r>
      <w:r w:rsidR="00116E00" w:rsidRPr="004543C5">
        <w:rPr>
          <w:szCs w:val="28"/>
        </w:rPr>
        <w:t xml:space="preserve"> комиссиям</w:t>
      </w:r>
      <w:r w:rsidR="00B96A62">
        <w:rPr>
          <w:szCs w:val="28"/>
        </w:rPr>
        <w:t>и</w:t>
      </w:r>
      <w:r w:rsidR="00CB0144">
        <w:rPr>
          <w:szCs w:val="28"/>
        </w:rPr>
        <w:t xml:space="preserve"> №№ 8226, 8227</w:t>
      </w:r>
      <w:r w:rsidR="00116E00" w:rsidRPr="004543C5">
        <w:rPr>
          <w:szCs w:val="28"/>
        </w:rPr>
        <w:t>:</w:t>
      </w:r>
    </w:p>
    <w:p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3"/>
        <w:gridCol w:w="2578"/>
        <w:gridCol w:w="2490"/>
        <w:gridCol w:w="2460"/>
      </w:tblGrid>
      <w:tr w:rsidR="000D6D9E" w:rsidRPr="008E3B03" w:rsidTr="000D6D9E">
        <w:tc>
          <w:tcPr>
            <w:tcW w:w="1067" w:type="pct"/>
          </w:tcPr>
          <w:p w:rsidR="000D6D9E" w:rsidRPr="008E3B03" w:rsidRDefault="000D6D9E" w:rsidP="0059674E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:rsidR="000D6D9E" w:rsidRPr="008E3B03" w:rsidRDefault="000D6D9E" w:rsidP="0059674E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347" w:type="pct"/>
          </w:tcPr>
          <w:p w:rsidR="000D6D9E" w:rsidRDefault="000D6D9E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 xml:space="preserve">Определено согласно </w:t>
            </w:r>
            <w:r>
              <w:rPr>
                <w:b/>
              </w:rPr>
              <w:t>части 6</w:t>
            </w:r>
            <w:r w:rsidRPr="008E3B03">
              <w:rPr>
                <w:b/>
              </w:rPr>
              <w:t xml:space="preserve"> ст</w:t>
            </w:r>
            <w:r>
              <w:rPr>
                <w:b/>
              </w:rPr>
              <w:t>атьи 83</w:t>
            </w:r>
            <w:r w:rsidRPr="008E3B03">
              <w:rPr>
                <w:b/>
              </w:rPr>
              <w:t xml:space="preserve"> </w:t>
            </w:r>
          </w:p>
          <w:p w:rsidR="000D6D9E" w:rsidRPr="008E3B03" w:rsidRDefault="000D6D9E" w:rsidP="00CB0144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20-ФЗ</w:t>
            </w:r>
          </w:p>
        </w:tc>
        <w:tc>
          <w:tcPr>
            <w:tcW w:w="1301" w:type="pct"/>
          </w:tcPr>
          <w:p w:rsidR="000D6D9E" w:rsidRDefault="000D6D9E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0404E0">
              <w:rPr>
                <w:b/>
              </w:rPr>
              <w:t xml:space="preserve">Добавлено по </w:t>
            </w:r>
            <w:r>
              <w:rPr>
                <w:b/>
              </w:rPr>
              <w:t xml:space="preserve">пункту «1» </w:t>
            </w:r>
            <w:r w:rsidRPr="000404E0">
              <w:rPr>
                <w:b/>
              </w:rPr>
              <w:t xml:space="preserve">  </w:t>
            </w:r>
          </w:p>
          <w:p w:rsidR="000D6D9E" w:rsidRDefault="000D6D9E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части 7</w:t>
            </w:r>
            <w:r w:rsidRPr="000404E0">
              <w:rPr>
                <w:b/>
              </w:rPr>
              <w:t xml:space="preserve"> </w:t>
            </w:r>
          </w:p>
          <w:p w:rsidR="000D6D9E" w:rsidRDefault="000D6D9E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ст</w:t>
            </w:r>
            <w:r>
              <w:rPr>
                <w:b/>
              </w:rPr>
              <w:t>атьи 83</w:t>
            </w:r>
            <w:r w:rsidRPr="008E3B03">
              <w:rPr>
                <w:b/>
              </w:rPr>
              <w:t xml:space="preserve"> </w:t>
            </w:r>
          </w:p>
          <w:p w:rsidR="000D6D9E" w:rsidRPr="000404E0" w:rsidRDefault="000D6D9E" w:rsidP="000D6D9E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20-ФЗ</w:t>
            </w:r>
          </w:p>
        </w:tc>
        <w:tc>
          <w:tcPr>
            <w:tcW w:w="1285" w:type="pct"/>
          </w:tcPr>
          <w:p w:rsidR="000D6D9E" w:rsidRPr="008E3B03" w:rsidRDefault="000D6D9E" w:rsidP="0059674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Всего переносных ящиков для голосования</w:t>
            </w:r>
          </w:p>
        </w:tc>
      </w:tr>
      <w:tr w:rsidR="000D6D9E" w:rsidRPr="008E3B03" w:rsidTr="000D6D9E">
        <w:tc>
          <w:tcPr>
            <w:tcW w:w="1067" w:type="pct"/>
            <w:vAlign w:val="bottom"/>
          </w:tcPr>
          <w:p w:rsidR="000D6D9E" w:rsidRPr="000D6D9E" w:rsidRDefault="000D6D9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6D9E">
              <w:rPr>
                <w:b/>
                <w:color w:val="000000"/>
                <w:sz w:val="28"/>
                <w:szCs w:val="28"/>
              </w:rPr>
              <w:t>8226</w:t>
            </w:r>
          </w:p>
        </w:tc>
        <w:tc>
          <w:tcPr>
            <w:tcW w:w="1347" w:type="pct"/>
          </w:tcPr>
          <w:p w:rsidR="000D6D9E" w:rsidRPr="008E3B03" w:rsidRDefault="000D6D9E" w:rsidP="00596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01" w:type="pct"/>
          </w:tcPr>
          <w:p w:rsidR="000D6D9E" w:rsidRPr="00620665" w:rsidRDefault="000D6D9E" w:rsidP="0059674E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85" w:type="pct"/>
          </w:tcPr>
          <w:p w:rsidR="000D6D9E" w:rsidRPr="008E3B03" w:rsidRDefault="000D6D9E" w:rsidP="00596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D6D9E" w:rsidRPr="00620665" w:rsidTr="000D6D9E">
        <w:tc>
          <w:tcPr>
            <w:tcW w:w="1067" w:type="pct"/>
            <w:vAlign w:val="bottom"/>
          </w:tcPr>
          <w:p w:rsidR="000D6D9E" w:rsidRPr="000D6D9E" w:rsidRDefault="000D6D9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6D9E">
              <w:rPr>
                <w:b/>
                <w:color w:val="000000"/>
                <w:sz w:val="28"/>
                <w:szCs w:val="28"/>
              </w:rPr>
              <w:t>8227</w:t>
            </w:r>
          </w:p>
        </w:tc>
        <w:tc>
          <w:tcPr>
            <w:tcW w:w="1347" w:type="pct"/>
          </w:tcPr>
          <w:p w:rsidR="000D6D9E" w:rsidRPr="008E3B03" w:rsidRDefault="000D6D9E" w:rsidP="00AF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01" w:type="pct"/>
          </w:tcPr>
          <w:p w:rsidR="000D6D9E" w:rsidRPr="00620665" w:rsidRDefault="000D6D9E" w:rsidP="00AF1C3B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85" w:type="pct"/>
          </w:tcPr>
          <w:p w:rsidR="000D6D9E" w:rsidRPr="008E3B03" w:rsidRDefault="000D6D9E" w:rsidP="00AF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620665" w:rsidRPr="009E62F5" w:rsidTr="00AF1C3B">
        <w:tc>
          <w:tcPr>
            <w:tcW w:w="5293" w:type="dxa"/>
          </w:tcPr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AF1C3B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16E00"/>
    <w:rsid w:val="000D6D9E"/>
    <w:rsid w:val="00116E00"/>
    <w:rsid w:val="00130BEA"/>
    <w:rsid w:val="00151E58"/>
    <w:rsid w:val="00157C08"/>
    <w:rsid w:val="0020084B"/>
    <w:rsid w:val="00270DB3"/>
    <w:rsid w:val="00620665"/>
    <w:rsid w:val="007F01AA"/>
    <w:rsid w:val="007F3AC6"/>
    <w:rsid w:val="0088096C"/>
    <w:rsid w:val="00985EFC"/>
    <w:rsid w:val="00995E73"/>
    <w:rsid w:val="009D6A02"/>
    <w:rsid w:val="00B1520F"/>
    <w:rsid w:val="00B96A62"/>
    <w:rsid w:val="00BF7E23"/>
    <w:rsid w:val="00C57CAE"/>
    <w:rsid w:val="00CA7299"/>
    <w:rsid w:val="00CB0144"/>
    <w:rsid w:val="00CD659B"/>
    <w:rsid w:val="00D56132"/>
    <w:rsid w:val="00D712E3"/>
    <w:rsid w:val="00DC4E70"/>
    <w:rsid w:val="00E34A7D"/>
    <w:rsid w:val="00E477A3"/>
    <w:rsid w:val="00EA7D14"/>
    <w:rsid w:val="00EF74FD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C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C0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6</cp:revision>
  <cp:lastPrinted>2021-08-16T12:08:00Z</cp:lastPrinted>
  <dcterms:created xsi:type="dcterms:W3CDTF">2021-08-13T08:54:00Z</dcterms:created>
  <dcterms:modified xsi:type="dcterms:W3CDTF">2021-08-16T12:08:00Z</dcterms:modified>
</cp:coreProperties>
</file>